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E0A" w:rsidRDefault="00514E0A" w:rsidP="00837584">
      <w:pPr>
        <w:jc w:val="both"/>
        <w:rPr>
          <w:sz w:val="28"/>
          <w:szCs w:val="28"/>
        </w:rPr>
      </w:pPr>
    </w:p>
    <w:p w:rsidR="00514E0A" w:rsidRDefault="00514E0A" w:rsidP="00514E0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OPIS</w:t>
      </w:r>
    </w:p>
    <w:p w:rsidR="00514E0A" w:rsidRPr="00514E0A" w:rsidRDefault="00514E0A" w:rsidP="00514E0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AL HCL ADOPTATE IN </w:t>
      </w:r>
      <w:proofErr w:type="spellStart"/>
      <w:r>
        <w:rPr>
          <w:sz w:val="28"/>
          <w:szCs w:val="28"/>
        </w:rPr>
        <w:t>Şedin</w:t>
      </w:r>
      <w:proofErr w:type="spellEnd"/>
      <w:r>
        <w:rPr>
          <w:sz w:val="28"/>
          <w:szCs w:val="28"/>
          <w:lang w:val="ro-RO"/>
        </w:rPr>
        <w:t>ta din data de 31.07.2017</w:t>
      </w:r>
    </w:p>
    <w:bookmarkEnd w:id="0"/>
    <w:p w:rsidR="00514E0A" w:rsidRDefault="00514E0A" w:rsidP="00837584">
      <w:pPr>
        <w:jc w:val="both"/>
        <w:rPr>
          <w:sz w:val="28"/>
          <w:szCs w:val="28"/>
        </w:rPr>
      </w:pPr>
    </w:p>
    <w:p w:rsidR="00514E0A" w:rsidRDefault="00514E0A" w:rsidP="0083758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645" w:type="dxa"/>
          </w:tcPr>
          <w:p w:rsidR="004C1CD0" w:rsidRPr="00837584" w:rsidRDefault="00183323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contractarii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catre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Orasul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 </w:t>
            </w:r>
            <w:proofErr w:type="spellStart"/>
            <w:r w:rsidR="001E6598" w:rsidRPr="001E6598">
              <w:rPr>
                <w:sz w:val="28"/>
                <w:szCs w:val="28"/>
              </w:rPr>
              <w:t>unei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finantari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rambursabile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interne in </w:t>
            </w:r>
            <w:proofErr w:type="spellStart"/>
            <w:r w:rsidR="001E6598" w:rsidRPr="001E6598">
              <w:rPr>
                <w:sz w:val="28"/>
                <w:szCs w:val="28"/>
              </w:rPr>
              <w:t>valoare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pana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la 24.000.000 lei </w:t>
            </w:r>
            <w:proofErr w:type="spellStart"/>
            <w:r w:rsidR="001E6598" w:rsidRPr="001E6598">
              <w:rPr>
                <w:sz w:val="28"/>
                <w:szCs w:val="28"/>
              </w:rPr>
              <w:t>pentru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asigurarea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fondurilor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necesare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implementarii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obiectivului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interes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public local “</w:t>
            </w:r>
            <w:proofErr w:type="spellStart"/>
            <w:r w:rsidR="001E6598" w:rsidRPr="001E6598">
              <w:rPr>
                <w:sz w:val="28"/>
                <w:szCs w:val="28"/>
              </w:rPr>
              <w:t>Reparatii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capitale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modernizare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strazi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trotuare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in </w:t>
            </w:r>
            <w:proofErr w:type="spellStart"/>
            <w:r w:rsidR="001E6598" w:rsidRPr="001E6598">
              <w:rPr>
                <w:sz w:val="28"/>
                <w:szCs w:val="28"/>
              </w:rPr>
              <w:t>Orasul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, </w:t>
            </w:r>
            <w:proofErr w:type="spellStart"/>
            <w:r w:rsidR="001E6598" w:rsidRPr="001E6598">
              <w:rPr>
                <w:sz w:val="28"/>
                <w:szCs w:val="28"/>
              </w:rPr>
              <w:t>Judetul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Constanta”</w:t>
            </w:r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645" w:type="dxa"/>
          </w:tcPr>
          <w:p w:rsidR="00E114CE" w:rsidRDefault="00183323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E6598" w:rsidRPr="001E6598">
              <w:rPr>
                <w:sz w:val="28"/>
                <w:szCs w:val="28"/>
              </w:rPr>
              <w:t>ectificarea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bugetului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venituri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cheltuieli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al </w:t>
            </w:r>
            <w:proofErr w:type="spellStart"/>
            <w:r w:rsidR="001E6598" w:rsidRPr="001E6598">
              <w:rPr>
                <w:sz w:val="28"/>
                <w:szCs w:val="28"/>
              </w:rPr>
              <w:t>Orasului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645" w:type="dxa"/>
          </w:tcPr>
          <w:p w:rsidR="00E114CE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contului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executie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al </w:t>
            </w:r>
            <w:proofErr w:type="spellStart"/>
            <w:r w:rsidR="001E6598" w:rsidRPr="001E6598">
              <w:rPr>
                <w:sz w:val="28"/>
                <w:szCs w:val="28"/>
              </w:rPr>
              <w:t>buge</w:t>
            </w:r>
            <w:r w:rsidR="001E6598">
              <w:rPr>
                <w:sz w:val="28"/>
                <w:szCs w:val="28"/>
              </w:rPr>
              <w:t>tului</w:t>
            </w:r>
            <w:proofErr w:type="spellEnd"/>
            <w:r w:rsidR="001E6598">
              <w:rPr>
                <w:sz w:val="28"/>
                <w:szCs w:val="28"/>
              </w:rPr>
              <w:t xml:space="preserve"> local al </w:t>
            </w:r>
            <w:proofErr w:type="spellStart"/>
            <w:r w:rsidR="001E6598">
              <w:rPr>
                <w:sz w:val="28"/>
                <w:szCs w:val="28"/>
              </w:rPr>
              <w:t>Orasului</w:t>
            </w:r>
            <w:proofErr w:type="spellEnd"/>
            <w:r w:rsidR="001E6598">
              <w:rPr>
                <w:sz w:val="28"/>
                <w:szCs w:val="28"/>
              </w:rPr>
              <w:t xml:space="preserve"> </w:t>
            </w:r>
            <w:proofErr w:type="spellStart"/>
            <w:r w:rsidR="001E6598">
              <w:rPr>
                <w:sz w:val="28"/>
                <w:szCs w:val="28"/>
              </w:rPr>
              <w:t>Eforie</w:t>
            </w:r>
            <w:proofErr w:type="spellEnd"/>
            <w:r w:rsid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pentru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trimestrul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II al </w:t>
            </w:r>
            <w:proofErr w:type="spellStart"/>
            <w:r w:rsidR="001E6598" w:rsidRPr="001E6598">
              <w:rPr>
                <w:sz w:val="28"/>
                <w:szCs w:val="28"/>
              </w:rPr>
              <w:t>anului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1E6598" w:rsidRPr="001E6598">
              <w:rPr>
                <w:sz w:val="28"/>
                <w:szCs w:val="28"/>
              </w:rPr>
              <w:t>odificarea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unor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contracte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inchiriere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1E6598" w:rsidRPr="001E6598">
              <w:rPr>
                <w:sz w:val="28"/>
                <w:szCs w:val="28"/>
              </w:rPr>
              <w:t>ompletarea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HCL nr.35/2007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1E6598" w:rsidRPr="001E6598">
              <w:rPr>
                <w:sz w:val="28"/>
                <w:szCs w:val="28"/>
              </w:rPr>
              <w:t>orectarea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completarea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unor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adrese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imobil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1E6598" w:rsidRPr="001E6598">
              <w:rPr>
                <w:sz w:val="28"/>
                <w:szCs w:val="28"/>
              </w:rPr>
              <w:t>orectarea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completarea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provizorie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 </w:t>
            </w:r>
            <w:proofErr w:type="spellStart"/>
            <w:r w:rsidR="001E6598" w:rsidRPr="001E6598">
              <w:rPr>
                <w:sz w:val="28"/>
                <w:szCs w:val="28"/>
              </w:rPr>
              <w:t>unor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adrese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imobil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1E6598" w:rsidRPr="001E6598">
              <w:rPr>
                <w:sz w:val="28"/>
                <w:szCs w:val="28"/>
              </w:rPr>
              <w:t>mputernicirea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SC </w:t>
            </w:r>
            <w:proofErr w:type="spellStart"/>
            <w:r w:rsidR="001E6598" w:rsidRPr="001E6598">
              <w:rPr>
                <w:sz w:val="28"/>
                <w:szCs w:val="28"/>
              </w:rPr>
              <w:t>Efo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Urban SRL </w:t>
            </w:r>
            <w:proofErr w:type="spellStart"/>
            <w:r w:rsidR="001E6598" w:rsidRPr="001E6598">
              <w:rPr>
                <w:sz w:val="28"/>
                <w:szCs w:val="28"/>
              </w:rPr>
              <w:t>sa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corecteze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erorile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materiale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din </w:t>
            </w:r>
            <w:proofErr w:type="spellStart"/>
            <w:r w:rsidR="001E6598" w:rsidRPr="001E6598">
              <w:rPr>
                <w:sz w:val="28"/>
                <w:szCs w:val="28"/>
              </w:rPr>
              <w:t>contractele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vanzare-cumparare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incheiate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pentru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imobilele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preluate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din </w:t>
            </w:r>
            <w:proofErr w:type="spellStart"/>
            <w:r w:rsidR="001E6598" w:rsidRPr="001E6598">
              <w:rPr>
                <w:sz w:val="28"/>
                <w:szCs w:val="28"/>
              </w:rPr>
              <w:t>fondul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locativ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stat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1E6598" w:rsidRPr="001E6598">
              <w:rPr>
                <w:sz w:val="28"/>
                <w:szCs w:val="28"/>
              </w:rPr>
              <w:t>odificarea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Contractului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inchiriere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nr.01/18.12.2014</w:t>
            </w:r>
          </w:p>
          <w:p w:rsidR="001E6598" w:rsidRPr="001E6598" w:rsidRDefault="001E6598" w:rsidP="001E6598">
            <w:pPr>
              <w:jc w:val="both"/>
              <w:rPr>
                <w:sz w:val="28"/>
                <w:szCs w:val="28"/>
              </w:rPr>
            </w:pPr>
            <w:r w:rsidRPr="001E6598">
              <w:rPr>
                <w:sz w:val="28"/>
                <w:szCs w:val="28"/>
              </w:rPr>
              <w:t>titular SC Pro Diagnostic SRL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Cererii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nr.17688/09.05.2017 </w:t>
            </w:r>
            <w:proofErr w:type="spellStart"/>
            <w:r w:rsidR="001E6598" w:rsidRPr="001E6598">
              <w:rPr>
                <w:sz w:val="28"/>
                <w:szCs w:val="28"/>
              </w:rPr>
              <w:t>depusa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SC </w:t>
            </w:r>
            <w:proofErr w:type="spellStart"/>
            <w:r w:rsidR="001E6598" w:rsidRPr="001E6598">
              <w:rPr>
                <w:sz w:val="28"/>
                <w:szCs w:val="28"/>
              </w:rPr>
              <w:t>Turist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Briza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Marii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SRL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Cererii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nr.18921/23.05.2017 </w:t>
            </w:r>
            <w:proofErr w:type="spellStart"/>
            <w:r w:rsidR="001E6598" w:rsidRPr="001E6598">
              <w:rPr>
                <w:sz w:val="28"/>
                <w:szCs w:val="28"/>
              </w:rPr>
              <w:t>depusa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CMI </w:t>
            </w:r>
            <w:proofErr w:type="spellStart"/>
            <w:r w:rsidR="001E6598" w:rsidRPr="001E6598">
              <w:rPr>
                <w:sz w:val="28"/>
                <w:szCs w:val="28"/>
              </w:rPr>
              <w:t>Slatineanu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Maria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E6598" w:rsidRPr="001E6598">
              <w:rPr>
                <w:sz w:val="28"/>
                <w:szCs w:val="28"/>
              </w:rPr>
              <w:t>evocarea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HCL nr.46/31.03.2017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1E6598" w:rsidRPr="001E6598">
              <w:rPr>
                <w:sz w:val="28"/>
                <w:szCs w:val="28"/>
              </w:rPr>
              <w:t>odificarea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completarea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HCL nr.1/2017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documentatiei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urbanism PUD “</w:t>
            </w:r>
            <w:proofErr w:type="spellStart"/>
            <w:r w:rsidR="001E6598" w:rsidRPr="001E6598">
              <w:rPr>
                <w:sz w:val="28"/>
                <w:szCs w:val="28"/>
              </w:rPr>
              <w:t>Continuare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lucrari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cu </w:t>
            </w:r>
            <w:proofErr w:type="spellStart"/>
            <w:r w:rsidR="001E6598" w:rsidRPr="001E6598">
              <w:rPr>
                <w:sz w:val="28"/>
                <w:szCs w:val="28"/>
              </w:rPr>
              <w:t>modificare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proiect-extindere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imobil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,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Sud, </w:t>
            </w:r>
            <w:proofErr w:type="spellStart"/>
            <w:r w:rsidR="001E6598" w:rsidRPr="001E6598">
              <w:rPr>
                <w:sz w:val="28"/>
                <w:szCs w:val="28"/>
              </w:rPr>
              <w:t>str.Oltului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nr.6A”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E6598" w:rsidRPr="001E6598">
              <w:rPr>
                <w:sz w:val="28"/>
                <w:szCs w:val="28"/>
              </w:rPr>
              <w:t>probarea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acordarii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unui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ajutor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urgenta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pentru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Turta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Maria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64" w:type="dxa"/>
          </w:tcPr>
          <w:p w:rsidR="001E6598" w:rsidRDefault="001E6598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645" w:type="dxa"/>
          </w:tcPr>
          <w:p w:rsidR="001E6598" w:rsidRPr="001E6598" w:rsidRDefault="00183323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E6598" w:rsidRPr="001E6598">
              <w:rPr>
                <w:sz w:val="28"/>
                <w:szCs w:val="28"/>
              </w:rPr>
              <w:t>adierea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din </w:t>
            </w:r>
            <w:proofErr w:type="spellStart"/>
            <w:r w:rsidR="001E6598" w:rsidRPr="001E6598">
              <w:rPr>
                <w:sz w:val="28"/>
                <w:szCs w:val="28"/>
              </w:rPr>
              <w:t>inventarul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domeniului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privat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al </w:t>
            </w:r>
            <w:proofErr w:type="spellStart"/>
            <w:r w:rsidR="001E6598" w:rsidRPr="001E6598">
              <w:rPr>
                <w:sz w:val="28"/>
                <w:szCs w:val="28"/>
              </w:rPr>
              <w:t>Orasului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 </w:t>
            </w:r>
            <w:proofErr w:type="spellStart"/>
            <w:r w:rsidR="001E6598" w:rsidRPr="001E6598">
              <w:rPr>
                <w:sz w:val="28"/>
                <w:szCs w:val="28"/>
              </w:rPr>
              <w:t>unui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imobil</w:t>
            </w:r>
            <w:proofErr w:type="spellEnd"/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sectPr w:rsidR="002604D5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54" w:rsidRDefault="00AD4054" w:rsidP="00C52DEF">
      <w:r>
        <w:separator/>
      </w:r>
    </w:p>
  </w:endnote>
  <w:endnote w:type="continuationSeparator" w:id="0">
    <w:p w:rsidR="00AD4054" w:rsidRDefault="00AD4054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54" w:rsidRDefault="00AD4054" w:rsidP="00C52DEF">
      <w:r>
        <w:separator/>
      </w:r>
    </w:p>
  </w:footnote>
  <w:footnote w:type="continuationSeparator" w:id="0">
    <w:p w:rsidR="00AD4054" w:rsidRDefault="00AD4054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87EAB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3323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1E6598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4E0A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6604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D4054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6977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5</cp:revision>
  <cp:lastPrinted>2017-05-11T08:01:00Z</cp:lastPrinted>
  <dcterms:created xsi:type="dcterms:W3CDTF">2017-08-03T09:15:00Z</dcterms:created>
  <dcterms:modified xsi:type="dcterms:W3CDTF">2017-08-09T11:58:00Z</dcterms:modified>
</cp:coreProperties>
</file>